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52" w:rsidRDefault="001B7452" w:rsidP="002E2A2D">
      <w:pPr>
        <w:rPr>
          <w:rFonts w:ascii="Verdana" w:hAnsi="Verdana" w:cs="Verdana"/>
          <w:b/>
          <w:bCs/>
          <w:sz w:val="22"/>
          <w:szCs w:val="22"/>
          <w:lang w:val="en-US"/>
        </w:rPr>
      </w:pPr>
      <w:r w:rsidRPr="002E2A2D">
        <w:rPr>
          <w:rFonts w:ascii="Verdana" w:hAnsi="Verdana" w:cs="Verdana"/>
          <w:b/>
          <w:bCs/>
          <w:sz w:val="22"/>
          <w:szCs w:val="22"/>
          <w:lang w:val="en-US"/>
        </w:rPr>
        <w:t>FOR IMMEDIATE RELEASE</w:t>
      </w:r>
    </w:p>
    <w:p w:rsidR="001B7452" w:rsidRPr="00A934AC" w:rsidRDefault="001B7452" w:rsidP="002E2A2D">
      <w:pPr>
        <w:rPr>
          <w:rFonts w:ascii="Verdana" w:hAnsi="Verdana" w:cs="Verdana"/>
          <w:b/>
          <w:bCs/>
          <w:sz w:val="22"/>
          <w:szCs w:val="22"/>
          <w:lang w:val="en-US"/>
        </w:rPr>
      </w:pPr>
      <w:r w:rsidRPr="002E2A2D">
        <w:rPr>
          <w:rFonts w:ascii="Verdana" w:hAnsi="Verdana" w:cs="Verdana"/>
          <w:b/>
          <w:bCs/>
          <w:sz w:val="22"/>
          <w:szCs w:val="22"/>
          <w:lang w:val="en-US"/>
        </w:rPr>
        <w:br/>
      </w:r>
      <w:r w:rsidRPr="002E2A2D">
        <w:rPr>
          <w:rFonts w:ascii="Verdana" w:hAnsi="Verdana" w:cs="Verdana"/>
          <w:b/>
          <w:bCs/>
          <w:sz w:val="20"/>
          <w:szCs w:val="20"/>
          <w:lang w:val="en-US"/>
        </w:rPr>
        <w:t>Corporate Press Contact:</w:t>
      </w:r>
    </w:p>
    <w:p w:rsidR="001B7452" w:rsidRDefault="001B7452" w:rsidP="002E2A2D">
      <w:pPr>
        <w:rPr>
          <w:rFonts w:ascii="Verdana" w:hAnsi="Verdana" w:cs="Verdana"/>
          <w:sz w:val="20"/>
          <w:szCs w:val="20"/>
        </w:rPr>
      </w:pPr>
      <w:r w:rsidRPr="00C45540">
        <w:rPr>
          <w:rFonts w:ascii="Verdana" w:hAnsi="Verdana" w:cs="Verdana"/>
          <w:sz w:val="20"/>
          <w:szCs w:val="20"/>
        </w:rPr>
        <w:t>Elisabetta Pierallini</w:t>
      </w:r>
    </w:p>
    <w:p w:rsidR="001B7452" w:rsidRPr="00C45540" w:rsidRDefault="001B7452" w:rsidP="002E2A2D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Luca Pieretti</w:t>
      </w:r>
    </w:p>
    <w:p w:rsidR="001B7452" w:rsidRPr="00A61380" w:rsidRDefault="001B7452" w:rsidP="002E2A2D">
      <w:pPr>
        <w:rPr>
          <w:rFonts w:ascii="Verdana" w:hAnsi="Verdana" w:cs="Verdana"/>
          <w:sz w:val="20"/>
          <w:szCs w:val="20"/>
        </w:rPr>
      </w:pPr>
      <w:r w:rsidRPr="00C45540">
        <w:rPr>
          <w:rFonts w:ascii="Verdana" w:hAnsi="Verdana" w:cs="Verdana"/>
          <w:sz w:val="20"/>
          <w:szCs w:val="20"/>
        </w:rPr>
        <w:t>+</w:t>
      </w:r>
      <w:r w:rsidRPr="00A61380">
        <w:rPr>
          <w:rFonts w:ascii="Verdana" w:hAnsi="Verdana" w:cs="Verdana"/>
          <w:sz w:val="20"/>
          <w:szCs w:val="20"/>
        </w:rPr>
        <w:t>39 0583 96811</w:t>
      </w:r>
    </w:p>
    <w:p w:rsidR="001B7452" w:rsidRPr="00A61380" w:rsidRDefault="001B7452" w:rsidP="002E2A2D">
      <w:pPr>
        <w:rPr>
          <w:rFonts w:ascii="Verdana" w:hAnsi="Verdana" w:cs="Verdana"/>
          <w:sz w:val="20"/>
          <w:szCs w:val="20"/>
        </w:rPr>
      </w:pPr>
      <w:hyperlink r:id="rId7" w:history="1">
        <w:r w:rsidRPr="00A61380">
          <w:rPr>
            <w:rFonts w:ascii="Verdana" w:hAnsi="Verdana" w:cs="Verdana"/>
            <w:sz w:val="20"/>
            <w:szCs w:val="20"/>
          </w:rPr>
          <w:t>press@tagetik.com</w:t>
        </w:r>
      </w:hyperlink>
      <w:r w:rsidRPr="00A61380">
        <w:rPr>
          <w:rFonts w:ascii="Verdana" w:hAnsi="Verdana" w:cs="Verdana"/>
          <w:sz w:val="20"/>
          <w:szCs w:val="20"/>
        </w:rPr>
        <w:t xml:space="preserve"> </w:t>
      </w:r>
    </w:p>
    <w:p w:rsidR="001B7452" w:rsidRPr="00C45540" w:rsidRDefault="001B7452" w:rsidP="002E2A2D">
      <w:pPr>
        <w:rPr>
          <w:rFonts w:ascii="Verdana" w:hAnsi="Verdana" w:cs="Verdana"/>
          <w:b/>
          <w:bCs/>
          <w:sz w:val="22"/>
          <w:szCs w:val="22"/>
        </w:rPr>
      </w:pPr>
    </w:p>
    <w:p w:rsidR="001B7452" w:rsidRPr="00C45540" w:rsidRDefault="001B7452" w:rsidP="002E2A2D">
      <w:pPr>
        <w:rPr>
          <w:rFonts w:ascii="Verdana" w:hAnsi="Verdana" w:cs="Verdana"/>
          <w:b/>
          <w:bCs/>
          <w:sz w:val="22"/>
          <w:szCs w:val="22"/>
        </w:rPr>
      </w:pPr>
    </w:p>
    <w:p w:rsidR="001B7452" w:rsidRPr="00C45540" w:rsidRDefault="001B7452" w:rsidP="002E2A2D">
      <w:pPr>
        <w:pStyle w:val="BodyText2"/>
        <w:jc w:val="left"/>
        <w:rPr>
          <w:color w:val="000000"/>
        </w:rPr>
      </w:pPr>
    </w:p>
    <w:p w:rsidR="001B7452" w:rsidRPr="00F56200" w:rsidRDefault="001B7452" w:rsidP="00365FC0">
      <w:pPr>
        <w:jc w:val="center"/>
        <w:rPr>
          <w:rFonts w:ascii="Verdana" w:hAnsi="Verdana" w:cs="Verdana"/>
          <w:b/>
          <w:bCs/>
          <w:caps/>
          <w:color w:val="000000"/>
          <w:sz w:val="28"/>
          <w:szCs w:val="28"/>
        </w:rPr>
      </w:pPr>
      <w:r w:rsidRPr="00F56200">
        <w:rPr>
          <w:rFonts w:ascii="Verdana" w:hAnsi="Verdana" w:cs="Verdana"/>
          <w:b/>
          <w:bCs/>
          <w:caps/>
          <w:color w:val="000000"/>
          <w:sz w:val="28"/>
          <w:szCs w:val="28"/>
        </w:rPr>
        <w:t>SEAT PG</w:t>
      </w:r>
      <w:r>
        <w:rPr>
          <w:rFonts w:ascii="Verdana" w:hAnsi="Verdana" w:cs="Verdana"/>
          <w:b/>
          <w:bCs/>
          <w:caps/>
          <w:color w:val="000000"/>
          <w:sz w:val="28"/>
          <w:szCs w:val="28"/>
        </w:rPr>
        <w:t xml:space="preserve"> ADOTTA LA PIATTAFORMA</w:t>
      </w:r>
      <w:r w:rsidRPr="00F56200">
        <w:rPr>
          <w:rFonts w:ascii="Verdana" w:hAnsi="Verdana" w:cs="Verdana"/>
          <w:b/>
          <w:bCs/>
          <w:caps/>
          <w:color w:val="000000"/>
          <w:sz w:val="28"/>
          <w:szCs w:val="28"/>
        </w:rPr>
        <w:t xml:space="preserve"> TAGETIK 3.0</w:t>
      </w:r>
    </w:p>
    <w:p w:rsidR="001B7452" w:rsidRPr="007A1725" w:rsidRDefault="001B7452" w:rsidP="00A61380">
      <w:pPr>
        <w:spacing w:line="276" w:lineRule="auto"/>
        <w:jc w:val="center"/>
        <w:rPr>
          <w:rFonts w:ascii="Verdana" w:hAnsi="Verdana" w:cs="Verdana"/>
          <w:i/>
          <w:iCs/>
        </w:rPr>
      </w:pPr>
      <w:r w:rsidRPr="00F56200">
        <w:rPr>
          <w:rFonts w:ascii="Verdana" w:hAnsi="Verdana" w:cs="Verdana"/>
          <w:sz w:val="10"/>
          <w:szCs w:val="10"/>
        </w:rPr>
        <w:br/>
      </w:r>
      <w:r>
        <w:rPr>
          <w:rFonts w:ascii="Verdana" w:hAnsi="Verdana" w:cs="Verdana"/>
          <w:i/>
          <w:iCs/>
        </w:rPr>
        <w:t>Una soluzione completa di budget, forecast e pianificazione finanziaria perfettamente integrata con la produzione del bilancio civilistico/gestionale e la comunicazione al mercato delle informazioni finanziarie</w:t>
      </w:r>
      <w:r>
        <w:rPr>
          <w:rFonts w:ascii="Verdana" w:hAnsi="Verdana" w:cs="Verdana"/>
          <w:i/>
          <w:iCs/>
        </w:rPr>
        <w:br/>
      </w:r>
    </w:p>
    <w:p w:rsidR="001B7452" w:rsidRDefault="001B7452" w:rsidP="002D7FFA">
      <w:pPr>
        <w:pStyle w:val="NormalWeb"/>
        <w:spacing w:line="276" w:lineRule="auto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 w:rsidRPr="00210A58">
        <w:rPr>
          <w:rFonts w:ascii="Verdana" w:hAnsi="Verdana" w:cs="Verdana"/>
          <w:b/>
          <w:bCs/>
          <w:color w:val="000000"/>
          <w:sz w:val="22"/>
          <w:szCs w:val="22"/>
        </w:rPr>
        <w:t>Lucca, 23 Novembre</w:t>
      </w:r>
      <w:r w:rsidRPr="00E07A3E">
        <w:rPr>
          <w:rFonts w:ascii="Verdana" w:hAnsi="Verdana" w:cs="Verdana"/>
          <w:b/>
          <w:bCs/>
          <w:color w:val="000000"/>
          <w:sz w:val="22"/>
          <w:szCs w:val="22"/>
        </w:rPr>
        <w:t xml:space="preserve"> 2010</w:t>
      </w:r>
      <w:r w:rsidRPr="00E07A3E">
        <w:rPr>
          <w:rFonts w:ascii="Verdana" w:hAnsi="Verdana" w:cs="Verdana"/>
          <w:color w:val="000000"/>
          <w:sz w:val="22"/>
          <w:szCs w:val="22"/>
        </w:rPr>
        <w:t xml:space="preserve"> – </w:t>
      </w:r>
      <w:r w:rsidRPr="00E07A3E">
        <w:rPr>
          <w:rFonts w:ascii="Verdana" w:hAnsi="Verdana" w:cs="Verdana"/>
          <w:color w:val="000000"/>
          <w:sz w:val="22"/>
          <w:szCs w:val="22"/>
          <w:lang w:eastAsia="en-US"/>
        </w:rPr>
        <w:t xml:space="preserve">Tagetik, azienda globale nel mercato delle soluzioni software per il Performance Management, </w:t>
      </w:r>
      <w:r>
        <w:rPr>
          <w:rFonts w:ascii="Verdana" w:hAnsi="Verdana" w:cs="Verdana"/>
          <w:sz w:val="22"/>
          <w:szCs w:val="22"/>
        </w:rPr>
        <w:t>l’Enterprise Governance, Risk &amp; Compliance</w:t>
      </w:r>
      <w:r w:rsidDel="00BE1941">
        <w:rPr>
          <w:rFonts w:ascii="Verdana" w:hAnsi="Verdana" w:cs="Verdana"/>
          <w:sz w:val="22"/>
          <w:szCs w:val="22"/>
        </w:rPr>
        <w:t xml:space="preserve"> </w:t>
      </w:r>
      <w:r w:rsidRPr="00E07A3E">
        <w:rPr>
          <w:rFonts w:ascii="Verdana" w:hAnsi="Verdana" w:cs="Verdana"/>
          <w:color w:val="000000"/>
          <w:sz w:val="22"/>
          <w:szCs w:val="22"/>
          <w:lang w:eastAsia="en-US"/>
        </w:rPr>
        <w:t xml:space="preserve">e la Business Intelligence, annuncia oggi che </w:t>
      </w:r>
      <w:r w:rsidRPr="00121CAA"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  <w:t>Seat PG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181678">
        <w:rPr>
          <w:rFonts w:ascii="Verdana" w:hAnsi="Verdana" w:cs="Verdana"/>
          <w:color w:val="000000"/>
          <w:sz w:val="22"/>
          <w:szCs w:val="22"/>
          <w:lang w:eastAsia="en-US"/>
        </w:rPr>
        <w:t xml:space="preserve">ha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iniziato ad</w:t>
      </w:r>
      <w:r w:rsidRPr="00181678">
        <w:rPr>
          <w:rFonts w:ascii="Verdana" w:hAnsi="Verdana" w:cs="Verdana"/>
          <w:color w:val="000000"/>
          <w:sz w:val="22"/>
          <w:szCs w:val="22"/>
          <w:lang w:eastAsia="en-US"/>
        </w:rPr>
        <w:t xml:space="preserve"> implementare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la piattaforma</w:t>
      </w:r>
      <w:r w:rsidRPr="00181678"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3344DE"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  <w:t>Tagetik 3.</w:t>
      </w:r>
      <w:r w:rsidRPr="007A5795"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  <w:t>0</w:t>
      </w:r>
      <w:r w:rsidRPr="007A5795">
        <w:rPr>
          <w:rFonts w:ascii="Verdana" w:hAnsi="Verdana" w:cs="Verdana"/>
          <w:color w:val="000000"/>
          <w:sz w:val="22"/>
          <w:szCs w:val="22"/>
          <w:lang w:eastAsia="en-US"/>
        </w:rPr>
        <w:t xml:space="preserve"> e il nuovissimo modulo </w:t>
      </w:r>
      <w:r>
        <w:rPr>
          <w:rFonts w:ascii="Verdana" w:hAnsi="Verdana" w:cs="Verdana"/>
          <w:b/>
          <w:bCs/>
          <w:color w:val="000000"/>
          <w:sz w:val="22"/>
          <w:szCs w:val="22"/>
          <w:lang w:eastAsia="en-US"/>
        </w:rPr>
        <w:t>Collaborative Disclosure Management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, per gestire in modo unificato i complessi processi previsionali e consuntivi facenti capo all’area Finance.</w:t>
      </w:r>
    </w:p>
    <w:p w:rsidR="001B7452" w:rsidRDefault="001B7452" w:rsidP="002D7FFA">
      <w:pPr>
        <w:pStyle w:val="NormalWeb"/>
        <w:spacing w:line="276" w:lineRule="auto"/>
        <w:jc w:val="both"/>
        <w:rPr>
          <w:rFonts w:ascii="Verdana" w:hAnsi="Verdana" w:cs="Verdana"/>
          <w:sz w:val="22"/>
          <w:szCs w:val="22"/>
        </w:rPr>
      </w:pPr>
      <w:r w:rsidRPr="00EA4A71">
        <w:rPr>
          <w:rFonts w:ascii="Verdana" w:hAnsi="Verdana" w:cs="Verdana"/>
          <w:color w:val="000000"/>
          <w:sz w:val="22"/>
          <w:szCs w:val="22"/>
          <w:lang w:eastAsia="en-US"/>
        </w:rPr>
        <w:t>L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a società</w:t>
      </w:r>
      <w:r w:rsidRPr="00EA4A71">
        <w:rPr>
          <w:rFonts w:ascii="Verdana" w:hAnsi="Verdana" w:cs="Verdana"/>
          <w:sz w:val="22"/>
          <w:szCs w:val="22"/>
        </w:rPr>
        <w:t xml:space="preserve"> – che, dal 2000, si era già affidata alla soluzione Easy Finance di Tagetik per gestire i processi di </w:t>
      </w:r>
      <w:r w:rsidRPr="00B37A66">
        <w:rPr>
          <w:rFonts w:ascii="Verdana" w:hAnsi="Verdana" w:cs="Verdana"/>
          <w:b/>
          <w:bCs/>
          <w:sz w:val="22"/>
          <w:szCs w:val="22"/>
        </w:rPr>
        <w:t>budget, forecast e pianificazione finanziaria</w:t>
      </w:r>
      <w:r w:rsidRPr="00EA4A71">
        <w:rPr>
          <w:rFonts w:ascii="Verdana" w:hAnsi="Verdana" w:cs="Verdana"/>
          <w:sz w:val="22"/>
          <w:szCs w:val="22"/>
        </w:rPr>
        <w:t xml:space="preserve"> e, dal 2004, per la produzione del </w:t>
      </w:r>
      <w:r w:rsidRPr="00B37A66">
        <w:rPr>
          <w:rFonts w:ascii="Verdana" w:hAnsi="Verdana" w:cs="Verdana"/>
          <w:b/>
          <w:bCs/>
          <w:sz w:val="22"/>
          <w:szCs w:val="22"/>
        </w:rPr>
        <w:t>bilancio e</w:t>
      </w:r>
      <w:r w:rsidRPr="00EA4A71">
        <w:rPr>
          <w:rFonts w:ascii="Verdana" w:hAnsi="Verdana" w:cs="Verdana"/>
          <w:sz w:val="22"/>
          <w:szCs w:val="22"/>
        </w:rPr>
        <w:t xml:space="preserve"> del </w:t>
      </w:r>
      <w:r w:rsidRPr="00B37A66">
        <w:rPr>
          <w:rFonts w:ascii="Verdana" w:hAnsi="Verdana" w:cs="Verdana"/>
          <w:b/>
          <w:bCs/>
          <w:sz w:val="22"/>
          <w:szCs w:val="22"/>
        </w:rPr>
        <w:t>reporting civilistico</w:t>
      </w:r>
      <w:r>
        <w:rPr>
          <w:rFonts w:ascii="Verdana" w:hAnsi="Verdana" w:cs="Verdana"/>
          <w:sz w:val="22"/>
          <w:szCs w:val="22"/>
        </w:rPr>
        <w:t xml:space="preserve"> – ha </w:t>
      </w:r>
      <w:r w:rsidRPr="00C45540">
        <w:rPr>
          <w:rFonts w:ascii="Verdana" w:hAnsi="Verdana" w:cs="Verdana"/>
          <w:sz w:val="22"/>
          <w:szCs w:val="22"/>
        </w:rPr>
        <w:t xml:space="preserve">deciso di </w:t>
      </w:r>
      <w:r>
        <w:rPr>
          <w:rFonts w:ascii="Verdana" w:hAnsi="Verdana" w:cs="Verdana"/>
          <w:sz w:val="22"/>
          <w:szCs w:val="22"/>
        </w:rPr>
        <w:t>effettuare</w:t>
      </w:r>
      <w:r w:rsidRPr="00C45540">
        <w:rPr>
          <w:rFonts w:ascii="Verdana" w:hAnsi="Verdana" w:cs="Verdana"/>
          <w:sz w:val="22"/>
          <w:szCs w:val="22"/>
        </w:rPr>
        <w:t xml:space="preserve"> il porting </w:t>
      </w:r>
      <w:r>
        <w:rPr>
          <w:rFonts w:ascii="Verdana" w:hAnsi="Verdana" w:cs="Verdana"/>
          <w:sz w:val="22"/>
          <w:szCs w:val="22"/>
        </w:rPr>
        <w:t>a</w:t>
      </w:r>
      <w:r w:rsidRPr="00C45540">
        <w:rPr>
          <w:rFonts w:ascii="Verdana" w:hAnsi="Verdana" w:cs="Verdana"/>
          <w:sz w:val="22"/>
          <w:szCs w:val="22"/>
        </w:rPr>
        <w:t xml:space="preserve"> </w:t>
      </w:r>
      <w:r w:rsidRPr="001D2F8E">
        <w:rPr>
          <w:rFonts w:ascii="Verdana" w:hAnsi="Verdana" w:cs="Verdana"/>
          <w:sz w:val="22"/>
          <w:szCs w:val="22"/>
        </w:rPr>
        <w:t>Tagetik 3.0</w:t>
      </w:r>
      <w:r>
        <w:rPr>
          <w:rFonts w:ascii="Verdana" w:hAnsi="Verdana" w:cs="Verdana"/>
          <w:sz w:val="22"/>
          <w:szCs w:val="22"/>
        </w:rPr>
        <w:t xml:space="preserve"> per</w:t>
      </w:r>
      <w:r w:rsidRPr="00C45540">
        <w:rPr>
          <w:rFonts w:ascii="Verdana" w:hAnsi="Verdana" w:cs="Verdana"/>
          <w:sz w:val="22"/>
          <w:szCs w:val="22"/>
        </w:rPr>
        <w:t xml:space="preserve"> semplificare ulteriormente </w:t>
      </w:r>
      <w:r>
        <w:rPr>
          <w:rFonts w:ascii="Verdana" w:hAnsi="Verdana" w:cs="Verdana"/>
          <w:sz w:val="22"/>
          <w:szCs w:val="22"/>
        </w:rPr>
        <w:t>la gestione d</w:t>
      </w:r>
      <w:r w:rsidRPr="00C45540">
        <w:rPr>
          <w:rFonts w:ascii="Verdana" w:hAnsi="Verdana" w:cs="Verdana"/>
          <w:sz w:val="22"/>
          <w:szCs w:val="22"/>
        </w:rPr>
        <w:t xml:space="preserve">i </w:t>
      </w:r>
      <w:r>
        <w:rPr>
          <w:rFonts w:ascii="Verdana" w:hAnsi="Verdana" w:cs="Verdana"/>
          <w:sz w:val="22"/>
          <w:szCs w:val="22"/>
        </w:rPr>
        <w:t xml:space="preserve">tali attività all’interno di un ambiente unificato e controllato, </w:t>
      </w:r>
      <w:r w:rsidRPr="00C45540">
        <w:rPr>
          <w:rFonts w:ascii="Verdana" w:hAnsi="Verdana" w:cs="Verdana"/>
          <w:sz w:val="22"/>
          <w:szCs w:val="22"/>
        </w:rPr>
        <w:t>beneficia</w:t>
      </w:r>
      <w:r>
        <w:rPr>
          <w:rFonts w:ascii="Verdana" w:hAnsi="Verdana" w:cs="Verdana"/>
          <w:sz w:val="22"/>
          <w:szCs w:val="22"/>
        </w:rPr>
        <w:t>ndo</w:t>
      </w:r>
      <w:r w:rsidRPr="00C4554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altresì </w:t>
      </w:r>
      <w:r w:rsidRPr="00C45540">
        <w:rPr>
          <w:rFonts w:ascii="Verdana" w:hAnsi="Verdana" w:cs="Verdana"/>
          <w:sz w:val="22"/>
          <w:szCs w:val="22"/>
        </w:rPr>
        <w:t>delle nuove funzionalità del prodotto</w:t>
      </w:r>
      <w:r>
        <w:rPr>
          <w:rFonts w:ascii="Verdana" w:hAnsi="Verdana" w:cs="Verdana"/>
          <w:sz w:val="22"/>
          <w:szCs w:val="22"/>
        </w:rPr>
        <w:t xml:space="preserve">. </w:t>
      </w:r>
    </w:p>
    <w:p w:rsidR="001B7452" w:rsidRPr="00181678" w:rsidRDefault="001B7452" w:rsidP="002D7FFA">
      <w:pPr>
        <w:pStyle w:val="NormalWeb"/>
        <w:spacing w:line="276" w:lineRule="auto"/>
        <w:jc w:val="both"/>
        <w:rPr>
          <w:rFonts w:ascii="Verdana" w:hAnsi="Verdana" w:cs="Verdana"/>
          <w:color w:val="000000"/>
          <w:sz w:val="22"/>
          <w:szCs w:val="22"/>
          <w:lang w:eastAsia="en-US"/>
        </w:rPr>
      </w:pPr>
      <w:r>
        <w:rPr>
          <w:rFonts w:ascii="Verdana" w:hAnsi="Verdana" w:cs="Verdana"/>
          <w:sz w:val="22"/>
          <w:szCs w:val="22"/>
        </w:rPr>
        <w:t xml:space="preserve">Inoltre, Seat PG, primo cliente a utilizzare la soluzione di Tagetik per rendere più collaborativo il processo di produzione e comunicazione al mercato delle informazioni finanziarie, ha deciso di adottare l’ultima release del software – </w:t>
      </w:r>
      <w:r w:rsidRPr="00B37A66">
        <w:rPr>
          <w:rFonts w:ascii="Verdana" w:hAnsi="Verdana" w:cs="Verdana"/>
          <w:b/>
          <w:bCs/>
          <w:sz w:val="22"/>
          <w:szCs w:val="22"/>
        </w:rPr>
        <w:t>Collaborative Disclosure Management</w:t>
      </w:r>
      <w:r>
        <w:rPr>
          <w:rFonts w:ascii="Verdana" w:hAnsi="Verdana" w:cs="Verdana"/>
          <w:sz w:val="22"/>
          <w:szCs w:val="22"/>
        </w:rPr>
        <w:t xml:space="preserve"> (</w:t>
      </w:r>
      <w:hyperlink r:id="rId8" w:history="1">
        <w:r w:rsidRPr="008C4820">
          <w:rPr>
            <w:rStyle w:val="Hyperlink"/>
            <w:rFonts w:ascii="Verdana" w:hAnsi="Verdana" w:cs="Verdana"/>
            <w:sz w:val="22"/>
            <w:szCs w:val="22"/>
          </w:rPr>
          <w:t>www.tagetik.it/software/disclose</w:t>
        </w:r>
      </w:hyperlink>
      <w:r>
        <w:rPr>
          <w:rFonts w:ascii="Verdana" w:hAnsi="Verdana" w:cs="Verdana"/>
          <w:sz w:val="22"/>
          <w:szCs w:val="22"/>
        </w:rPr>
        <w:t xml:space="preserve">) – </w:t>
      </w:r>
      <w:r w:rsidRPr="002B46AD">
        <w:rPr>
          <w:rFonts w:ascii="Verdana" w:hAnsi="Verdana" w:cs="Verdana"/>
          <w:color w:val="000000"/>
          <w:sz w:val="22"/>
          <w:szCs w:val="22"/>
          <w:lang w:eastAsia="en-US"/>
        </w:rPr>
        <w:t>per automatizzare l'intero processo di chiusura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finanziaria</w:t>
      </w:r>
      <w:r w:rsidRPr="002B46AD">
        <w:rPr>
          <w:rFonts w:ascii="Verdana" w:hAnsi="Verdana" w:cs="Verdana"/>
          <w:color w:val="000000"/>
          <w:sz w:val="22"/>
          <w:szCs w:val="22"/>
          <w:lang w:eastAsia="en-US"/>
        </w:rPr>
        <w:t xml:space="preserve"> e supportare le attività di pubblicazione 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del</w:t>
      </w:r>
      <w:r w:rsidRPr="002B46AD">
        <w:rPr>
          <w:rFonts w:ascii="Verdana" w:hAnsi="Verdana" w:cs="Verdana"/>
          <w:color w:val="000000"/>
          <w:sz w:val="22"/>
          <w:szCs w:val="22"/>
          <w:lang w:eastAsia="en-US"/>
        </w:rPr>
        <w:t>le informazioni di business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 xml:space="preserve"> </w:t>
      </w:r>
      <w:r w:rsidRPr="002B46AD">
        <w:rPr>
          <w:rFonts w:ascii="Verdana" w:hAnsi="Verdana" w:cs="Verdana"/>
          <w:color w:val="000000"/>
          <w:sz w:val="22"/>
          <w:szCs w:val="22"/>
          <w:lang w:eastAsia="en-US"/>
        </w:rPr>
        <w:t>in modo collaborativo, accurato e con estrema facilità</w:t>
      </w:r>
      <w:r>
        <w:rPr>
          <w:rFonts w:ascii="Verdana" w:hAnsi="Verdana" w:cs="Verdana"/>
          <w:color w:val="000000"/>
          <w:sz w:val="22"/>
          <w:szCs w:val="22"/>
          <w:lang w:eastAsia="en-US"/>
        </w:rPr>
        <w:t>.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1B7452" w:rsidRDefault="001B7452" w:rsidP="00502806">
      <w:pPr>
        <w:pStyle w:val="NormalWeb"/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502806">
        <w:rPr>
          <w:rFonts w:ascii="Verdana" w:hAnsi="Verdana" w:cs="Verdana"/>
          <w:color w:val="000000"/>
          <w:sz w:val="22"/>
          <w:szCs w:val="22"/>
        </w:rPr>
        <w:t>Seat PG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è una </w:t>
      </w:r>
      <w:r>
        <w:rPr>
          <w:rFonts w:ascii="Verdana" w:hAnsi="Verdana" w:cs="Verdana"/>
          <w:color w:val="000000"/>
          <w:sz w:val="22"/>
          <w:szCs w:val="22"/>
        </w:rPr>
        <w:t>‘</w:t>
      </w:r>
      <w:r w:rsidRPr="00502806">
        <w:rPr>
          <w:rFonts w:ascii="Verdana" w:hAnsi="Verdana" w:cs="Verdana"/>
          <w:color w:val="000000"/>
          <w:sz w:val="22"/>
          <w:szCs w:val="22"/>
        </w:rPr>
        <w:t>local marketing communication agency</w:t>
      </w:r>
      <w:r>
        <w:rPr>
          <w:rFonts w:ascii="Verdana" w:hAnsi="Verdana" w:cs="Verdana"/>
          <w:color w:val="000000"/>
          <w:sz w:val="22"/>
          <w:szCs w:val="22"/>
        </w:rPr>
        <w:t>’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 fortemente radicata nel territorio italiano, presidiato tramite un network di 180 agenzie multimediali.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Ai tradizionali servizi di visibilità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502806">
        <w:rPr>
          <w:rFonts w:ascii="Verdana" w:hAnsi="Verdana" w:cs="Verdana"/>
          <w:color w:val="000000"/>
          <w:sz w:val="22"/>
          <w:szCs w:val="22"/>
        </w:rPr>
        <w:t>che offrono</w:t>
      </w:r>
      <w:r>
        <w:rPr>
          <w:rFonts w:ascii="Verdana" w:hAnsi="Verdana" w:cs="Verdana"/>
          <w:color w:val="000000"/>
          <w:sz w:val="22"/>
          <w:szCs w:val="22"/>
        </w:rPr>
        <w:t xml:space="preserve"> a decine di milioni di utenti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 informazioni dettagliate e sofisticati strumenti di ricerca e, ai propri inserzionisti, un’ampia offerta di mezzi p</w:t>
      </w:r>
      <w:r>
        <w:rPr>
          <w:rFonts w:ascii="Verdana" w:hAnsi="Verdana" w:cs="Verdana"/>
          <w:color w:val="000000"/>
          <w:sz w:val="22"/>
          <w:szCs w:val="22"/>
        </w:rPr>
        <w:t>ubblicitari multipiattaforma (‘carta-telefono-internet-mobile’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) – Seat PG affianca innovativi servizi di web marketing che comprendono, tra </w:t>
      </w:r>
      <w:r>
        <w:rPr>
          <w:rFonts w:ascii="Verdana" w:hAnsi="Verdana" w:cs="Verdana"/>
          <w:color w:val="000000"/>
          <w:sz w:val="22"/>
          <w:szCs w:val="22"/>
        </w:rPr>
        <w:t>g</w:t>
      </w:r>
      <w:r w:rsidRPr="00502806">
        <w:rPr>
          <w:rFonts w:ascii="Verdana" w:hAnsi="Verdana" w:cs="Verdana"/>
          <w:color w:val="000000"/>
          <w:sz w:val="22"/>
          <w:szCs w:val="22"/>
        </w:rPr>
        <w:t>l</w:t>
      </w:r>
      <w:r>
        <w:rPr>
          <w:rFonts w:ascii="Verdana" w:hAnsi="Verdana" w:cs="Verdana"/>
          <w:color w:val="000000"/>
          <w:sz w:val="22"/>
          <w:szCs w:val="22"/>
        </w:rPr>
        <w:t>i altri</w:t>
      </w:r>
      <w:r w:rsidRPr="00502806">
        <w:rPr>
          <w:rFonts w:ascii="Verdana" w:hAnsi="Verdana" w:cs="Verdana"/>
          <w:color w:val="000000"/>
          <w:sz w:val="22"/>
          <w:szCs w:val="22"/>
        </w:rPr>
        <w:t>, la costruzione di siti internet, la creazione di contenuti multimediali, le attiv</w:t>
      </w:r>
      <w:r>
        <w:rPr>
          <w:rFonts w:ascii="Verdana" w:hAnsi="Verdana" w:cs="Verdana"/>
          <w:color w:val="000000"/>
          <w:sz w:val="22"/>
          <w:szCs w:val="22"/>
        </w:rPr>
        <w:t>ità inerenti la visibilità nel w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eb, oltre a un’ampia gamma di strumenti complementari di comunicazione pubblicitaria. Seat PG si propone come partner nella comunicazione e nel marketing sul territorio alle </w:t>
      </w:r>
      <w:r>
        <w:rPr>
          <w:rFonts w:ascii="Verdana" w:hAnsi="Verdana" w:cs="Verdana"/>
          <w:color w:val="000000"/>
          <w:sz w:val="22"/>
          <w:szCs w:val="22"/>
        </w:rPr>
        <w:t>piccole e medie i</w:t>
      </w:r>
      <w:r w:rsidRPr="00502806">
        <w:rPr>
          <w:rFonts w:ascii="Verdana" w:hAnsi="Verdana" w:cs="Verdana"/>
          <w:color w:val="000000"/>
          <w:sz w:val="22"/>
          <w:szCs w:val="22"/>
        </w:rPr>
        <w:t xml:space="preserve">mprese italiane (PMI), alle </w:t>
      </w:r>
      <w:r>
        <w:rPr>
          <w:rFonts w:ascii="Verdana" w:hAnsi="Verdana" w:cs="Verdana"/>
          <w:color w:val="000000"/>
          <w:sz w:val="22"/>
          <w:szCs w:val="22"/>
        </w:rPr>
        <w:t>grandi a</w:t>
      </w:r>
      <w:r w:rsidRPr="00502806">
        <w:rPr>
          <w:rFonts w:ascii="Verdana" w:hAnsi="Verdana" w:cs="Verdana"/>
          <w:color w:val="000000"/>
          <w:sz w:val="22"/>
          <w:szCs w:val="22"/>
        </w:rPr>
        <w:t>ziende che operano sull’intero territorio nazionale e alla</w:t>
      </w:r>
      <w:r>
        <w:rPr>
          <w:rFonts w:ascii="Verdana" w:hAnsi="Verdana" w:cs="Verdana"/>
          <w:color w:val="000000"/>
          <w:sz w:val="22"/>
          <w:szCs w:val="22"/>
        </w:rPr>
        <w:t xml:space="preserve"> Pubblica Amministrazione, sia centrale che l</w:t>
      </w:r>
      <w:r w:rsidRPr="00502806">
        <w:rPr>
          <w:rFonts w:ascii="Verdana" w:hAnsi="Verdana" w:cs="Verdana"/>
          <w:color w:val="000000"/>
          <w:sz w:val="22"/>
          <w:szCs w:val="22"/>
        </w:rPr>
        <w:t>ocale.</w:t>
      </w:r>
    </w:p>
    <w:p w:rsidR="001B7452" w:rsidRDefault="001B7452" w:rsidP="001D2F8E">
      <w:pPr>
        <w:pStyle w:val="NormalWeb"/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3118EB">
        <w:rPr>
          <w:rFonts w:ascii="Verdana" w:hAnsi="Verdana" w:cs="Verdana"/>
          <w:color w:val="000000"/>
          <w:sz w:val="22"/>
          <w:szCs w:val="22"/>
        </w:rPr>
        <w:t xml:space="preserve">“Le aziende </w:t>
      </w:r>
      <w:r>
        <w:rPr>
          <w:rFonts w:ascii="Verdana" w:hAnsi="Verdana" w:cs="Verdana"/>
          <w:color w:val="000000"/>
          <w:sz w:val="22"/>
          <w:szCs w:val="22"/>
        </w:rPr>
        <w:t>iniziano</w:t>
      </w:r>
      <w:r w:rsidRPr="003118EB">
        <w:rPr>
          <w:rFonts w:ascii="Verdana" w:hAnsi="Verdana" w:cs="Verdana"/>
          <w:color w:val="000000"/>
          <w:sz w:val="22"/>
          <w:szCs w:val="22"/>
        </w:rPr>
        <w:t xml:space="preserve"> a dedicare sempre più attenzione alla necessità di garantire tempi di chiusura veloci nel rispetto delle normative di legge e delle policy aziendali”,</w:t>
      </w:r>
      <w:r w:rsidRPr="009179BC">
        <w:rPr>
          <w:rFonts w:ascii="Verdana" w:hAnsi="Verdana" w:cs="Verdana"/>
          <w:color w:val="000000"/>
          <w:sz w:val="22"/>
          <w:szCs w:val="22"/>
        </w:rPr>
        <w:t xml:space="preserve"> commenta Manuel Vellutini, Chief Operating Officer (COO) di Tagetik.</w:t>
      </w:r>
      <w:r>
        <w:rPr>
          <w:rFonts w:ascii="Verdana" w:hAnsi="Verdana" w:cs="Verdana"/>
          <w:color w:val="000000"/>
          <w:sz w:val="22"/>
          <w:szCs w:val="22"/>
        </w:rPr>
        <w:t xml:space="preserve"> “Con Tagetik 3.0 – Collaborative Disclosure Management vogliamo supportare le aziende a strutturare un processo collaborativo di preparazione, </w:t>
      </w:r>
      <w:r w:rsidRPr="003118EB">
        <w:rPr>
          <w:rFonts w:ascii="Verdana" w:hAnsi="Verdana" w:cs="Verdana"/>
          <w:color w:val="000000"/>
          <w:sz w:val="22"/>
          <w:szCs w:val="22"/>
        </w:rPr>
        <w:t>condivi</w:t>
      </w:r>
      <w:r>
        <w:rPr>
          <w:rFonts w:ascii="Verdana" w:hAnsi="Verdana" w:cs="Verdana"/>
          <w:color w:val="000000"/>
          <w:sz w:val="22"/>
          <w:szCs w:val="22"/>
        </w:rPr>
        <w:t>sione</w:t>
      </w:r>
      <w:r w:rsidRPr="003118EB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e pubblicazione del</w:t>
      </w:r>
      <w:r w:rsidRPr="003118EB">
        <w:rPr>
          <w:rFonts w:ascii="Verdana" w:hAnsi="Verdana" w:cs="Verdana"/>
          <w:color w:val="000000"/>
          <w:sz w:val="22"/>
          <w:szCs w:val="22"/>
        </w:rPr>
        <w:t xml:space="preserve">la documentazione </w:t>
      </w:r>
      <w:r>
        <w:rPr>
          <w:rFonts w:ascii="Verdana" w:hAnsi="Verdana" w:cs="Verdana"/>
          <w:color w:val="000000"/>
          <w:sz w:val="22"/>
          <w:szCs w:val="22"/>
        </w:rPr>
        <w:t>inerente al</w:t>
      </w:r>
      <w:r w:rsidRPr="003118EB">
        <w:rPr>
          <w:rFonts w:ascii="Verdana" w:hAnsi="Verdana" w:cs="Verdana"/>
          <w:color w:val="000000"/>
          <w:sz w:val="22"/>
          <w:szCs w:val="22"/>
        </w:rPr>
        <w:t xml:space="preserve"> processo di chiusura.</w:t>
      </w:r>
      <w:r w:rsidRPr="009179BC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Il tutto all’interno di un sistema unico che consente di</w:t>
      </w:r>
      <w:r w:rsidRPr="003118EB">
        <w:rPr>
          <w:rFonts w:ascii="Verdana" w:hAnsi="Verdana" w:cs="Verdana"/>
          <w:color w:val="000000"/>
          <w:sz w:val="22"/>
          <w:szCs w:val="22"/>
        </w:rPr>
        <w:t xml:space="preserve"> gestire </w:t>
      </w:r>
      <w:r>
        <w:rPr>
          <w:rFonts w:ascii="Verdana" w:hAnsi="Verdana" w:cs="Verdana"/>
          <w:color w:val="000000"/>
          <w:sz w:val="22"/>
          <w:szCs w:val="22"/>
        </w:rPr>
        <w:t>sofisticate</w:t>
      </w:r>
      <w:r w:rsidRPr="003118EB">
        <w:rPr>
          <w:rFonts w:ascii="Verdana" w:hAnsi="Verdana" w:cs="Verdana"/>
          <w:color w:val="000000"/>
          <w:sz w:val="22"/>
          <w:szCs w:val="22"/>
        </w:rPr>
        <w:t xml:space="preserve"> elaborazioni</w:t>
      </w:r>
      <w:r>
        <w:rPr>
          <w:rFonts w:ascii="Verdana" w:hAnsi="Verdana" w:cs="Verdana"/>
          <w:color w:val="000000"/>
          <w:sz w:val="22"/>
          <w:szCs w:val="22"/>
        </w:rPr>
        <w:t xml:space="preserve"> previsionali e analizzare i dati di dettaglio per eseguire la strategia aziendale”.</w:t>
      </w:r>
    </w:p>
    <w:p w:rsidR="001B7452" w:rsidRDefault="001B7452" w:rsidP="001D2F8E">
      <w:pPr>
        <w:pStyle w:val="NormalWeb"/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DA78F6">
        <w:rPr>
          <w:rFonts w:ascii="Verdana" w:hAnsi="Verdana" w:cs="Verdana"/>
          <w:color w:val="000000"/>
          <w:sz w:val="22"/>
          <w:szCs w:val="22"/>
        </w:rPr>
        <w:t xml:space="preserve">Oltre a Seat PG, molte aziende italiane hanno scelto – in questo trimestre – di implementare Tagetik 3.0 a supporto di molteplici processi finanziari. Tra queste, RCS MediaGroup, Bormioli Rocco, Maiorana, </w:t>
      </w:r>
      <w:r>
        <w:rPr>
          <w:rFonts w:ascii="Verdana" w:hAnsi="Verdana" w:cs="Verdana"/>
          <w:color w:val="000000"/>
          <w:sz w:val="22"/>
          <w:szCs w:val="22"/>
        </w:rPr>
        <w:t xml:space="preserve">CIR Group, </w:t>
      </w:r>
      <w:r w:rsidRPr="00DA78F6">
        <w:rPr>
          <w:rFonts w:ascii="Verdana" w:hAnsi="Verdana" w:cs="Verdana"/>
          <w:color w:val="000000"/>
          <w:sz w:val="22"/>
          <w:szCs w:val="22"/>
        </w:rPr>
        <w:t>Banca Popolare di Sondrio, Iccrea Holding</w:t>
      </w:r>
      <w:r>
        <w:rPr>
          <w:rFonts w:ascii="Verdana" w:hAnsi="Verdana" w:cs="Verdana"/>
          <w:color w:val="000000"/>
          <w:sz w:val="22"/>
          <w:szCs w:val="22"/>
        </w:rPr>
        <w:t>,</w:t>
      </w:r>
      <w:r w:rsidRPr="00DA78F6"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Gruppo KB</w:t>
      </w:r>
      <w:r w:rsidRPr="00E862A7">
        <w:rPr>
          <w:rFonts w:ascii="Verdana" w:hAnsi="Verdana" w:cs="Verdana"/>
          <w:color w:val="000000"/>
          <w:sz w:val="22"/>
          <w:szCs w:val="22"/>
        </w:rPr>
        <w:t>1909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A78F6">
        <w:rPr>
          <w:rFonts w:ascii="Verdana" w:hAnsi="Verdana" w:cs="Verdana"/>
          <w:color w:val="000000"/>
          <w:sz w:val="22"/>
          <w:szCs w:val="22"/>
        </w:rPr>
        <w:t>e Manuli Rubber.</w:t>
      </w:r>
    </w:p>
    <w:p w:rsidR="001B7452" w:rsidRPr="003C41DA" w:rsidRDefault="001B7452" w:rsidP="00121CAA">
      <w:pPr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br/>
      </w:r>
      <w:bookmarkStart w:id="0" w:name="_GoBack"/>
      <w:bookmarkEnd w:id="0"/>
    </w:p>
    <w:p w:rsidR="001B7452" w:rsidRPr="00A85281" w:rsidRDefault="001B7452" w:rsidP="00121CAA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i/>
          <w:iCs/>
          <w:sz w:val="20"/>
          <w:szCs w:val="20"/>
        </w:rPr>
      </w:pP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 xml:space="preserve">Tagetik </w:t>
      </w:r>
    </w:p>
    <w:p w:rsidR="001B7452" w:rsidRPr="00A85281" w:rsidRDefault="001B7452" w:rsidP="00121CAA">
      <w:pPr>
        <w:spacing w:before="100" w:beforeAutospacing="1" w:after="100" w:afterAutospacing="1"/>
        <w:rPr>
          <w:rFonts w:ascii="Verdana" w:hAnsi="Verdana" w:cs="Verdana"/>
          <w:i/>
          <w:iCs/>
          <w:sz w:val="20"/>
          <w:szCs w:val="20"/>
        </w:rPr>
      </w:pPr>
      <w:r w:rsidRPr="00A85281">
        <w:rPr>
          <w:rFonts w:ascii="Verdana" w:hAnsi="Verdana" w:cs="Verdana"/>
          <w:i/>
          <w:iCs/>
          <w:sz w:val="20"/>
          <w:szCs w:val="20"/>
        </w:rPr>
        <w:t xml:space="preserve">Tagetik fornisce una soluzione software completa per il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Performance Management</w:t>
      </w:r>
      <w:r w:rsidRPr="00A85281">
        <w:rPr>
          <w:rFonts w:ascii="Verdana" w:hAnsi="Verdana" w:cs="Verdana"/>
          <w:i/>
          <w:iCs/>
          <w:sz w:val="20"/>
          <w:szCs w:val="20"/>
        </w:rPr>
        <w:t>, l’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Enterprise Governance, Risk &amp; Compliance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, il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Disclosure Management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, la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Business Intelligence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, la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 xml:space="preserve">Collaborazione 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e la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Comunicazione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 aziendale. </w:t>
      </w:r>
    </w:p>
    <w:p w:rsidR="001B7452" w:rsidRPr="00A85281" w:rsidRDefault="001B7452" w:rsidP="00121CAA">
      <w:pPr>
        <w:spacing w:before="100" w:beforeAutospacing="1" w:after="100" w:afterAutospacing="1"/>
        <w:rPr>
          <w:rFonts w:ascii="Verdana" w:hAnsi="Verdana" w:cs="Verdana"/>
          <w:i/>
          <w:iCs/>
          <w:sz w:val="20"/>
          <w:szCs w:val="20"/>
        </w:rPr>
      </w:pP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Tagetik 3.0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 crea valore semplificando la complessità dei processi di business per il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 xml:space="preserve">CFO </w:t>
      </w:r>
      <w:r w:rsidRPr="00A85281">
        <w:rPr>
          <w:rFonts w:ascii="Verdana" w:hAnsi="Verdana" w:cs="Verdana"/>
          <w:i/>
          <w:iCs/>
          <w:sz w:val="20"/>
          <w:szCs w:val="20"/>
        </w:rPr>
        <w:t>e il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 xml:space="preserve"> CIO</w:t>
      </w:r>
      <w:r w:rsidRPr="00A85281">
        <w:rPr>
          <w:rFonts w:ascii="Verdana" w:hAnsi="Verdana" w:cs="Verdana"/>
          <w:i/>
          <w:iCs/>
          <w:sz w:val="20"/>
          <w:szCs w:val="20"/>
        </w:rPr>
        <w:t>: budget, forecast, pianificazione finanziaria, consolidamento civilistico, gestionale e reporting, allocazione dei costi e analisi della profittabilità, financial close &amp; fast closing, dashboard e scorecard, collaborative disclosure management, adeguamento alle normative e alle specifiche richieste di business. Tagetik 3.0 è la soluzione per gestire le performance aziendali fino alla singola transazione, controllare l’esecuzione della strategia e migliorare i processi decisionali in tutta l’organizzazione, così da ottenere un veloce ritorno dell’investimento e ridurre il costo totale di possesso del software. Estendere il Performance Management e la Business Intelligence al decision-making collaborativo è la nuova visione di Tagetik da cui è nata la versione ‘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 xml:space="preserve">Enabled by Microsoft SharePoint’ </w:t>
      </w:r>
      <w:r w:rsidRPr="00A85281">
        <w:rPr>
          <w:rFonts w:ascii="Verdana" w:hAnsi="Verdana" w:cs="Verdana"/>
          <w:i/>
          <w:iCs/>
          <w:sz w:val="20"/>
          <w:szCs w:val="20"/>
        </w:rPr>
        <w:t>di Tagetik 3.0: un’unica piattaforma di ‘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Collaborative Performance Management’</w:t>
      </w:r>
      <w:r w:rsidRPr="00A85281">
        <w:rPr>
          <w:rFonts w:ascii="Verdana" w:hAnsi="Verdana" w:cs="Verdana"/>
          <w:i/>
          <w:iCs/>
          <w:sz w:val="20"/>
          <w:szCs w:val="20"/>
        </w:rPr>
        <w:t>.</w:t>
      </w:r>
    </w:p>
    <w:p w:rsidR="001B7452" w:rsidRPr="00A85281" w:rsidRDefault="001B7452" w:rsidP="00121CAA">
      <w:pPr>
        <w:spacing w:before="100" w:beforeAutospacing="1" w:after="100" w:afterAutospacing="1"/>
        <w:rPr>
          <w:rFonts w:ascii="Verdana" w:hAnsi="Verdana" w:cs="Verdana"/>
          <w:i/>
          <w:iCs/>
          <w:sz w:val="20"/>
          <w:szCs w:val="20"/>
        </w:rPr>
      </w:pPr>
      <w:r w:rsidRPr="00A85281">
        <w:rPr>
          <w:rFonts w:ascii="Verdana" w:hAnsi="Verdana" w:cs="Verdana"/>
          <w:i/>
          <w:iCs/>
          <w:sz w:val="20"/>
          <w:szCs w:val="20"/>
        </w:rPr>
        <w:t xml:space="preserve">Tagetik è presente in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18 paesi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 ed ha avviato una partnership molto stretta con Microsoft. I suoi specialisti di mercato sono totalmente impegnati nel successo dei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400 clienti</w:t>
      </w:r>
      <w:r w:rsidRPr="00A85281">
        <w:rPr>
          <w:rFonts w:ascii="Verdana" w:hAnsi="Verdana" w:cs="Verdana"/>
          <w:i/>
          <w:iCs/>
          <w:sz w:val="20"/>
          <w:szCs w:val="20"/>
        </w:rPr>
        <w:t xml:space="preserve"> in tutti i settori d'impresa e nello sviluppo di partnership internazionali con i maggiori system integrator, partner tecnologici e specialisti locali. </w:t>
      </w:r>
    </w:p>
    <w:p w:rsidR="001B7452" w:rsidRPr="00A85281" w:rsidRDefault="001B7452" w:rsidP="00121CAA">
      <w:pPr>
        <w:spacing w:before="100" w:beforeAutospacing="1" w:after="100" w:afterAutospacing="1"/>
        <w:rPr>
          <w:rFonts w:ascii="Verdana" w:hAnsi="Verdana" w:cs="Verdana"/>
          <w:i/>
          <w:iCs/>
          <w:sz w:val="20"/>
          <w:szCs w:val="20"/>
        </w:rPr>
      </w:pPr>
      <w:r w:rsidRPr="00A85281">
        <w:rPr>
          <w:rFonts w:ascii="Verdana" w:hAnsi="Verdana" w:cs="Verdana"/>
          <w:i/>
          <w:iCs/>
          <w:sz w:val="20"/>
          <w:szCs w:val="20"/>
        </w:rPr>
        <w:t xml:space="preserve">Tagetik è un </w:t>
      </w:r>
      <w:r w:rsidRPr="00A85281">
        <w:rPr>
          <w:rFonts w:ascii="Verdana" w:hAnsi="Verdana" w:cs="Verdana"/>
          <w:b/>
          <w:bCs/>
          <w:i/>
          <w:iCs/>
          <w:sz w:val="20"/>
          <w:szCs w:val="20"/>
        </w:rPr>
        <w:t>Microsoft Gold Certified Partner</w:t>
      </w:r>
      <w:r w:rsidRPr="00A85281">
        <w:rPr>
          <w:rFonts w:ascii="Verdana" w:hAnsi="Verdana" w:cs="Verdana"/>
          <w:i/>
          <w:iCs/>
          <w:sz w:val="20"/>
          <w:szCs w:val="20"/>
        </w:rPr>
        <w:t>.</w:t>
      </w:r>
    </w:p>
    <w:p w:rsidR="001B7452" w:rsidRPr="00A85281" w:rsidRDefault="001B7452" w:rsidP="00121CAA">
      <w:pPr>
        <w:spacing w:before="100" w:beforeAutospacing="1" w:after="100" w:afterAutospacing="1"/>
        <w:rPr>
          <w:rFonts w:ascii="Verdana" w:hAnsi="Verdana" w:cs="Verdana"/>
          <w:sz w:val="22"/>
          <w:szCs w:val="22"/>
        </w:rPr>
      </w:pPr>
      <w:r w:rsidRPr="00A85281">
        <w:rPr>
          <w:rFonts w:ascii="Verdana" w:hAnsi="Verdana" w:cs="Verdana"/>
          <w:i/>
          <w:iCs/>
          <w:sz w:val="20"/>
          <w:szCs w:val="20"/>
        </w:rPr>
        <w:t xml:space="preserve">Per maggiori informazioni: </w:t>
      </w:r>
      <w:hyperlink r:id="rId9" w:history="1">
        <w:r w:rsidRPr="00A85281">
          <w:rPr>
            <w:rStyle w:val="Hyperlink"/>
            <w:rFonts w:ascii="Verdana" w:hAnsi="Verdana" w:cs="Verdana"/>
            <w:i/>
            <w:iCs/>
            <w:sz w:val="20"/>
            <w:szCs w:val="20"/>
          </w:rPr>
          <w:t>www.tagetik.it</w:t>
        </w:r>
      </w:hyperlink>
      <w:r w:rsidRPr="00A85281"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:rsidR="001B7452" w:rsidRPr="00297D10" w:rsidRDefault="001B7452" w:rsidP="00121CAA">
      <w:pPr>
        <w:widowControl w:val="0"/>
        <w:autoSpaceDE w:val="0"/>
        <w:autoSpaceDN w:val="0"/>
        <w:adjustRightInd w:val="0"/>
        <w:spacing w:after="220"/>
        <w:rPr>
          <w:rFonts w:ascii="Verdana" w:hAnsi="Verdana" w:cs="Verdana"/>
          <w:i/>
          <w:iCs/>
          <w:sz w:val="20"/>
          <w:szCs w:val="20"/>
        </w:rPr>
      </w:pPr>
    </w:p>
    <w:sectPr w:rsidR="001B7452" w:rsidRPr="00297D10" w:rsidSect="0075331C">
      <w:headerReference w:type="default" r:id="rId10"/>
      <w:footerReference w:type="even" r:id="rId11"/>
      <w:footerReference w:type="default" r:id="rId12"/>
      <w:pgSz w:w="11906" w:h="16838" w:code="9"/>
      <w:pgMar w:top="2835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52" w:rsidRDefault="001B7452">
      <w:r>
        <w:separator/>
      </w:r>
    </w:p>
  </w:endnote>
  <w:endnote w:type="continuationSeparator" w:id="0">
    <w:p w:rsidR="001B7452" w:rsidRDefault="001B7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2" w:rsidRDefault="001B7452" w:rsidP="001A3D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452" w:rsidRDefault="001B7452" w:rsidP="007C51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2" w:rsidRDefault="001B7452" w:rsidP="001A3D45">
    <w:pPr>
      <w:pStyle w:val="Footer"/>
      <w:framePr w:wrap="around" w:vAnchor="text" w:hAnchor="margin" w:xAlign="right" w:y="1"/>
      <w:rPr>
        <w:rStyle w:val="PageNumber"/>
      </w:rPr>
    </w:pPr>
  </w:p>
  <w:p w:rsidR="001B7452" w:rsidRDefault="001B7452" w:rsidP="007C51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52" w:rsidRDefault="001B7452">
      <w:r>
        <w:separator/>
      </w:r>
    </w:p>
  </w:footnote>
  <w:footnote w:type="continuationSeparator" w:id="0">
    <w:p w:rsidR="001B7452" w:rsidRDefault="001B7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52" w:rsidRDefault="001B745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II FOGLIO" style="position:absolute;left:0;text-align:left;margin-left:0;margin-top:0;width:591.75pt;height:837pt;z-index:-251656192;visibility:visible;mso-position-horizontal:center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641"/>
    <w:multiLevelType w:val="hybridMultilevel"/>
    <w:tmpl w:val="0BAC06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DF418AD"/>
    <w:multiLevelType w:val="hybridMultilevel"/>
    <w:tmpl w:val="6ACA6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711AD8"/>
    <w:multiLevelType w:val="multilevel"/>
    <w:tmpl w:val="0B26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CE2679E"/>
    <w:multiLevelType w:val="hybridMultilevel"/>
    <w:tmpl w:val="D01E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1591586"/>
    <w:multiLevelType w:val="multilevel"/>
    <w:tmpl w:val="B0F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634563A"/>
    <w:multiLevelType w:val="multilevel"/>
    <w:tmpl w:val="8C2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CD93938"/>
    <w:multiLevelType w:val="hybridMultilevel"/>
    <w:tmpl w:val="957E955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198"/>
    <w:rsid w:val="00001F77"/>
    <w:rsid w:val="00015ECB"/>
    <w:rsid w:val="00023DFE"/>
    <w:rsid w:val="000273C9"/>
    <w:rsid w:val="000401CE"/>
    <w:rsid w:val="0004694F"/>
    <w:rsid w:val="00051E35"/>
    <w:rsid w:val="00070212"/>
    <w:rsid w:val="00071EFE"/>
    <w:rsid w:val="0009055E"/>
    <w:rsid w:val="00091B9B"/>
    <w:rsid w:val="00093C3C"/>
    <w:rsid w:val="000A3833"/>
    <w:rsid w:val="000A5348"/>
    <w:rsid w:val="000B1D4B"/>
    <w:rsid w:val="000B43FB"/>
    <w:rsid w:val="000D3D9F"/>
    <w:rsid w:val="000E1ACB"/>
    <w:rsid w:val="000F3B81"/>
    <w:rsid w:val="001069C7"/>
    <w:rsid w:val="00113A3B"/>
    <w:rsid w:val="001150AD"/>
    <w:rsid w:val="001156B8"/>
    <w:rsid w:val="00121CAA"/>
    <w:rsid w:val="00140AB4"/>
    <w:rsid w:val="00142B73"/>
    <w:rsid w:val="00150E4E"/>
    <w:rsid w:val="001514E6"/>
    <w:rsid w:val="00154C21"/>
    <w:rsid w:val="00162922"/>
    <w:rsid w:val="00175491"/>
    <w:rsid w:val="00177EF4"/>
    <w:rsid w:val="00181678"/>
    <w:rsid w:val="00186430"/>
    <w:rsid w:val="001A3D45"/>
    <w:rsid w:val="001A44E9"/>
    <w:rsid w:val="001B6E39"/>
    <w:rsid w:val="001B7452"/>
    <w:rsid w:val="001C1C7A"/>
    <w:rsid w:val="001D2F8E"/>
    <w:rsid w:val="001D494A"/>
    <w:rsid w:val="001F49CF"/>
    <w:rsid w:val="001F5BAD"/>
    <w:rsid w:val="00210A58"/>
    <w:rsid w:val="00216A77"/>
    <w:rsid w:val="00220710"/>
    <w:rsid w:val="002271A6"/>
    <w:rsid w:val="0025031F"/>
    <w:rsid w:val="00273476"/>
    <w:rsid w:val="00281080"/>
    <w:rsid w:val="00283226"/>
    <w:rsid w:val="002832DE"/>
    <w:rsid w:val="00284428"/>
    <w:rsid w:val="002954B2"/>
    <w:rsid w:val="00297D10"/>
    <w:rsid w:val="002A7860"/>
    <w:rsid w:val="002B46AD"/>
    <w:rsid w:val="002C08C2"/>
    <w:rsid w:val="002C1928"/>
    <w:rsid w:val="002D18DA"/>
    <w:rsid w:val="002D67F9"/>
    <w:rsid w:val="002D7806"/>
    <w:rsid w:val="002D7FFA"/>
    <w:rsid w:val="002E2A2D"/>
    <w:rsid w:val="002E76B3"/>
    <w:rsid w:val="002F0C31"/>
    <w:rsid w:val="003118EB"/>
    <w:rsid w:val="00330EAC"/>
    <w:rsid w:val="003344DE"/>
    <w:rsid w:val="0034735E"/>
    <w:rsid w:val="00354011"/>
    <w:rsid w:val="0035592A"/>
    <w:rsid w:val="0036243E"/>
    <w:rsid w:val="00365FC0"/>
    <w:rsid w:val="00372A27"/>
    <w:rsid w:val="003832C7"/>
    <w:rsid w:val="00391AF3"/>
    <w:rsid w:val="00394E3C"/>
    <w:rsid w:val="003C41DA"/>
    <w:rsid w:val="003D6BA7"/>
    <w:rsid w:val="003E4202"/>
    <w:rsid w:val="003F402F"/>
    <w:rsid w:val="003F5841"/>
    <w:rsid w:val="00400576"/>
    <w:rsid w:val="00404200"/>
    <w:rsid w:val="00405D34"/>
    <w:rsid w:val="00407F5F"/>
    <w:rsid w:val="00412251"/>
    <w:rsid w:val="00413FB6"/>
    <w:rsid w:val="004209F3"/>
    <w:rsid w:val="004232B3"/>
    <w:rsid w:val="00427C9E"/>
    <w:rsid w:val="004310E0"/>
    <w:rsid w:val="00452EAC"/>
    <w:rsid w:val="00463AB0"/>
    <w:rsid w:val="00477262"/>
    <w:rsid w:val="0048088B"/>
    <w:rsid w:val="004856A2"/>
    <w:rsid w:val="00495729"/>
    <w:rsid w:val="00496542"/>
    <w:rsid w:val="004C2CF5"/>
    <w:rsid w:val="004D058F"/>
    <w:rsid w:val="004E0237"/>
    <w:rsid w:val="004E3320"/>
    <w:rsid w:val="004E6BB7"/>
    <w:rsid w:val="00500502"/>
    <w:rsid w:val="00502806"/>
    <w:rsid w:val="005069A4"/>
    <w:rsid w:val="00512066"/>
    <w:rsid w:val="00513CAC"/>
    <w:rsid w:val="00533091"/>
    <w:rsid w:val="00542241"/>
    <w:rsid w:val="0054591B"/>
    <w:rsid w:val="00556441"/>
    <w:rsid w:val="00565CAB"/>
    <w:rsid w:val="005801A9"/>
    <w:rsid w:val="00585BCE"/>
    <w:rsid w:val="0058744A"/>
    <w:rsid w:val="00591198"/>
    <w:rsid w:val="00594CFE"/>
    <w:rsid w:val="00597A6F"/>
    <w:rsid w:val="005B038B"/>
    <w:rsid w:val="005C4855"/>
    <w:rsid w:val="005C5C86"/>
    <w:rsid w:val="005D326A"/>
    <w:rsid w:val="005D747B"/>
    <w:rsid w:val="005E4493"/>
    <w:rsid w:val="00603863"/>
    <w:rsid w:val="00605F11"/>
    <w:rsid w:val="00606F0B"/>
    <w:rsid w:val="00610A67"/>
    <w:rsid w:val="00627B1B"/>
    <w:rsid w:val="006621CD"/>
    <w:rsid w:val="00673E0E"/>
    <w:rsid w:val="00681137"/>
    <w:rsid w:val="006A2FA5"/>
    <w:rsid w:val="006A7F3F"/>
    <w:rsid w:val="006C3D41"/>
    <w:rsid w:val="006D20A5"/>
    <w:rsid w:val="006D44AF"/>
    <w:rsid w:val="006D4744"/>
    <w:rsid w:val="006D5CF9"/>
    <w:rsid w:val="006E32F0"/>
    <w:rsid w:val="00702C56"/>
    <w:rsid w:val="00717F1E"/>
    <w:rsid w:val="0072308F"/>
    <w:rsid w:val="00731367"/>
    <w:rsid w:val="00732FA9"/>
    <w:rsid w:val="00735884"/>
    <w:rsid w:val="0074448D"/>
    <w:rsid w:val="00746B3E"/>
    <w:rsid w:val="0075331C"/>
    <w:rsid w:val="00763568"/>
    <w:rsid w:val="0076618C"/>
    <w:rsid w:val="0078041F"/>
    <w:rsid w:val="007A1725"/>
    <w:rsid w:val="007A3CE1"/>
    <w:rsid w:val="007A4DFA"/>
    <w:rsid w:val="007A5795"/>
    <w:rsid w:val="007B22AA"/>
    <w:rsid w:val="007C5172"/>
    <w:rsid w:val="007E057C"/>
    <w:rsid w:val="007E6EE7"/>
    <w:rsid w:val="00803961"/>
    <w:rsid w:val="008049EC"/>
    <w:rsid w:val="008053B3"/>
    <w:rsid w:val="0080542C"/>
    <w:rsid w:val="00815488"/>
    <w:rsid w:val="00824013"/>
    <w:rsid w:val="00830B2E"/>
    <w:rsid w:val="00854C7D"/>
    <w:rsid w:val="0088205E"/>
    <w:rsid w:val="008A7F09"/>
    <w:rsid w:val="008B2941"/>
    <w:rsid w:val="008B30BD"/>
    <w:rsid w:val="008C4820"/>
    <w:rsid w:val="008E32EC"/>
    <w:rsid w:val="00900A71"/>
    <w:rsid w:val="00904D14"/>
    <w:rsid w:val="009179BC"/>
    <w:rsid w:val="009262DC"/>
    <w:rsid w:val="00937D49"/>
    <w:rsid w:val="00971660"/>
    <w:rsid w:val="0097170D"/>
    <w:rsid w:val="0097671A"/>
    <w:rsid w:val="009821E4"/>
    <w:rsid w:val="00994534"/>
    <w:rsid w:val="009A7F23"/>
    <w:rsid w:val="009D216A"/>
    <w:rsid w:val="009D4977"/>
    <w:rsid w:val="009D6E28"/>
    <w:rsid w:val="00A06A05"/>
    <w:rsid w:val="00A207A2"/>
    <w:rsid w:val="00A30CE8"/>
    <w:rsid w:val="00A36591"/>
    <w:rsid w:val="00A42D67"/>
    <w:rsid w:val="00A61380"/>
    <w:rsid w:val="00A71336"/>
    <w:rsid w:val="00A75D17"/>
    <w:rsid w:val="00A77A1A"/>
    <w:rsid w:val="00A83A78"/>
    <w:rsid w:val="00A85281"/>
    <w:rsid w:val="00A92050"/>
    <w:rsid w:val="00A934AC"/>
    <w:rsid w:val="00AD376E"/>
    <w:rsid w:val="00AD530F"/>
    <w:rsid w:val="00AE1FFD"/>
    <w:rsid w:val="00AF67EA"/>
    <w:rsid w:val="00AF6BEF"/>
    <w:rsid w:val="00B11650"/>
    <w:rsid w:val="00B15FDA"/>
    <w:rsid w:val="00B16181"/>
    <w:rsid w:val="00B33202"/>
    <w:rsid w:val="00B355D8"/>
    <w:rsid w:val="00B36BE2"/>
    <w:rsid w:val="00B36D8B"/>
    <w:rsid w:val="00B36DDF"/>
    <w:rsid w:val="00B370CE"/>
    <w:rsid w:val="00B37A66"/>
    <w:rsid w:val="00B4112F"/>
    <w:rsid w:val="00B477BB"/>
    <w:rsid w:val="00B47809"/>
    <w:rsid w:val="00B5792E"/>
    <w:rsid w:val="00BB5529"/>
    <w:rsid w:val="00BD25BD"/>
    <w:rsid w:val="00BE1941"/>
    <w:rsid w:val="00BF2C1A"/>
    <w:rsid w:val="00BF582B"/>
    <w:rsid w:val="00C03F06"/>
    <w:rsid w:val="00C20742"/>
    <w:rsid w:val="00C45540"/>
    <w:rsid w:val="00C466EA"/>
    <w:rsid w:val="00CC2F66"/>
    <w:rsid w:val="00CF1C7B"/>
    <w:rsid w:val="00D55EB7"/>
    <w:rsid w:val="00DA159C"/>
    <w:rsid w:val="00DA25CD"/>
    <w:rsid w:val="00DA49A5"/>
    <w:rsid w:val="00DA6939"/>
    <w:rsid w:val="00DA78F6"/>
    <w:rsid w:val="00DB2C28"/>
    <w:rsid w:val="00DC294F"/>
    <w:rsid w:val="00DC7413"/>
    <w:rsid w:val="00DD0897"/>
    <w:rsid w:val="00DD289E"/>
    <w:rsid w:val="00DE0412"/>
    <w:rsid w:val="00DE7515"/>
    <w:rsid w:val="00E0277C"/>
    <w:rsid w:val="00E07A3E"/>
    <w:rsid w:val="00E13C61"/>
    <w:rsid w:val="00E34FAC"/>
    <w:rsid w:val="00E35CFB"/>
    <w:rsid w:val="00E508C7"/>
    <w:rsid w:val="00E50C1E"/>
    <w:rsid w:val="00E57034"/>
    <w:rsid w:val="00E57846"/>
    <w:rsid w:val="00E63182"/>
    <w:rsid w:val="00E65B10"/>
    <w:rsid w:val="00E73DF1"/>
    <w:rsid w:val="00E80DB6"/>
    <w:rsid w:val="00E817C2"/>
    <w:rsid w:val="00E831FB"/>
    <w:rsid w:val="00E862A7"/>
    <w:rsid w:val="00E87F6F"/>
    <w:rsid w:val="00EA4A71"/>
    <w:rsid w:val="00EA55D6"/>
    <w:rsid w:val="00EB4067"/>
    <w:rsid w:val="00EC0C7A"/>
    <w:rsid w:val="00EC35F8"/>
    <w:rsid w:val="00EC6384"/>
    <w:rsid w:val="00EC7CED"/>
    <w:rsid w:val="00EE075D"/>
    <w:rsid w:val="00EE7A41"/>
    <w:rsid w:val="00F00AAD"/>
    <w:rsid w:val="00F047AE"/>
    <w:rsid w:val="00F12E25"/>
    <w:rsid w:val="00F151B2"/>
    <w:rsid w:val="00F312F1"/>
    <w:rsid w:val="00F40C83"/>
    <w:rsid w:val="00F4649D"/>
    <w:rsid w:val="00F56200"/>
    <w:rsid w:val="00F565D4"/>
    <w:rsid w:val="00F673DB"/>
    <w:rsid w:val="00F72C2B"/>
    <w:rsid w:val="00F771D6"/>
    <w:rsid w:val="00F83515"/>
    <w:rsid w:val="00FA487C"/>
    <w:rsid w:val="00FB5341"/>
    <w:rsid w:val="00FC4935"/>
    <w:rsid w:val="00FC62FB"/>
    <w:rsid w:val="00FD6CE7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98"/>
    <w:pPr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98"/>
    <w:pPr>
      <w:keepNext/>
      <w:ind w:left="3402" w:hanging="3402"/>
      <w:jc w:val="left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73E0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198"/>
    <w:pPr>
      <w:keepNext/>
      <w:ind w:left="4536"/>
      <w:outlineLvl w:val="7"/>
    </w:pPr>
    <w:rPr>
      <w:rFonts w:ascii="Verdana" w:hAnsi="Verdana" w:cs="Verdana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229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73E0E"/>
    <w:rPr>
      <w:rFonts w:ascii="Cambria" w:hAnsi="Cambria" w:cs="Cambria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9E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5331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29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5331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9E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C5172"/>
  </w:style>
  <w:style w:type="paragraph" w:styleId="BodyText2">
    <w:name w:val="Body Text 2"/>
    <w:basedOn w:val="Normal"/>
    <w:link w:val="BodyText2Char"/>
    <w:uiPriority w:val="99"/>
    <w:rsid w:val="0080542C"/>
    <w:pPr>
      <w:jc w:val="center"/>
    </w:pPr>
    <w:rPr>
      <w:rFonts w:ascii="Verdana" w:hAnsi="Verdana" w:cs="Verdana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42C"/>
    <w:rPr>
      <w:rFonts w:ascii="Verdana" w:hAnsi="Verdana" w:cs="Verdana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80542C"/>
    <w:rPr>
      <w:b/>
      <w:bCs/>
    </w:rPr>
  </w:style>
  <w:style w:type="character" w:styleId="Hyperlink">
    <w:name w:val="Hyperlink"/>
    <w:basedOn w:val="DefaultParagraphFont"/>
    <w:uiPriority w:val="99"/>
    <w:rsid w:val="0080542C"/>
    <w:rPr>
      <w:color w:val="0000FF"/>
      <w:u w:val="single"/>
    </w:rPr>
  </w:style>
  <w:style w:type="paragraph" w:styleId="NormalWeb">
    <w:name w:val="Normal (Web)"/>
    <w:basedOn w:val="Normal"/>
    <w:uiPriority w:val="99"/>
    <w:rsid w:val="0080542C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606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6F0B"/>
    <w:rPr>
      <w:rFonts w:ascii="Tahoma" w:hAnsi="Tahoma" w:cs="Tahoma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rsid w:val="00803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3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E6"/>
    <w:rPr>
      <w:b/>
      <w:bCs/>
    </w:rPr>
  </w:style>
  <w:style w:type="character" w:styleId="FollowedHyperlink">
    <w:name w:val="FollowedHyperlink"/>
    <w:basedOn w:val="DefaultParagraphFont"/>
    <w:uiPriority w:val="99"/>
    <w:rsid w:val="007A3CE1"/>
    <w:rPr>
      <w:color w:val="800080"/>
      <w:u w:val="single"/>
    </w:rPr>
  </w:style>
  <w:style w:type="character" w:customStyle="1" w:styleId="highlightedsearchterm">
    <w:name w:val="highlightedsearchterm"/>
    <w:basedOn w:val="DefaultParagraphFont"/>
    <w:uiPriority w:val="99"/>
    <w:rsid w:val="00FC4935"/>
  </w:style>
  <w:style w:type="paragraph" w:customStyle="1" w:styleId="BulletDoubleSpace">
    <w:name w:val="Bullet Double Space"/>
    <w:basedOn w:val="Normal"/>
    <w:autoRedefine/>
    <w:uiPriority w:val="99"/>
    <w:rsid w:val="002E2A2D"/>
    <w:rPr>
      <w:rFonts w:ascii="Verdana" w:hAnsi="Verdana" w:cs="Verdana"/>
      <w:color w:val="000000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AF67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78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tik.it/software/disclo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tageti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getik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809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cbonanno</dc:creator>
  <cp:keywords/>
  <dc:description/>
  <cp:lastModifiedBy>unione ind</cp:lastModifiedBy>
  <cp:revision>2</cp:revision>
  <cp:lastPrinted>2010-11-24T14:24:00Z</cp:lastPrinted>
  <dcterms:created xsi:type="dcterms:W3CDTF">2010-11-24T14:27:00Z</dcterms:created>
  <dcterms:modified xsi:type="dcterms:W3CDTF">2010-11-24T14:27:00Z</dcterms:modified>
</cp:coreProperties>
</file>